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 w:cs="Times New Roman"/>
          <w:b/>
          <w:sz w:val="96"/>
          <w:szCs w:val="96"/>
        </w:rPr>
      </w:pPr>
      <w:r>
        <w:rPr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428750" cy="981075"/>
                <wp:effectExtent l="0" t="0" r="0" b="9525"/>
                <wp:docPr id="1" name="Рисунок 2" hidden="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 hidden="0"/>
                        <pic:cNvPicPr/>
                        <pic:nvPr isPhoto="0" userDrawn="0"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1428750" cy="9810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112.50pt;height:77.25pt;mso-wrap-distance-left:0.00pt;mso-wrap-distance-top:0.00pt;mso-wrap-distance-right:0.00pt;mso-wrap-distance-bottom:0.00pt;" stroked="f" strokeweight="1.00pt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72"/>
          <w:szCs w:val="72"/>
        </w:rPr>
        <w:t xml:space="preserve">     </w:t>
      </w:r>
      <w:r>
        <w:rPr>
          <w:rFonts w:ascii="Times New Roman" w:hAnsi="Times New Roman" w:cs="Times New Roman"/>
          <w:b/>
          <w:color w:val="c00000"/>
          <w:sz w:val="96"/>
          <w:szCs w:val="96"/>
        </w:rPr>
        <w:t xml:space="preserve">ЛОБАСТ – Т17</w:t>
      </w:r>
      <w:r>
        <w:rPr>
          <w:rFonts w:ascii="Times New Roman" w:hAnsi="Times New Roman" w:cs="Times New Roman"/>
          <w:b/>
          <w:sz w:val="96"/>
          <w:szCs w:val="96"/>
        </w:rPr>
      </w:r>
      <w:r>
        <w:rPr>
          <w:rFonts w:ascii="Times New Roman" w:hAnsi="Times New Roman" w:cs="Times New Roman"/>
          <w:b/>
          <w:sz w:val="96"/>
          <w:szCs w:val="96"/>
        </w:rPr>
      </w:r>
    </w:p>
    <w:p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Универсальный поликарбоксилатный суперпластификатор </w:t>
      </w:r>
      <w:r>
        <w:rPr>
          <w:rFonts w:ascii="Times New Roman" w:hAnsi="Times New Roman" w:cs="Times New Roman"/>
          <w:b/>
          <w:sz w:val="36"/>
          <w:szCs w:val="36"/>
        </w:rPr>
      </w:r>
      <w:r>
        <w:rPr>
          <w:rFonts w:ascii="Times New Roman" w:hAnsi="Times New Roman" w:cs="Times New Roman"/>
          <w:b/>
          <w:sz w:val="36"/>
          <w:szCs w:val="36"/>
        </w:rPr>
      </w:r>
    </w:p>
    <w:tbl>
      <w:tblPr>
        <w:tblStyle w:val="853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67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 xml:space="preserve">Описание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78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 xml:space="preserve">Возможности и преимущества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67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ЛОБАСТ-Т17 – поликарбоксилатный суперпластификатор для изготовления бетон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ных изделий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методом вибролитья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783" w:type="dxa"/>
            <w:vMerge w:val="restart"/>
            <w:textDirection w:val="lrTb"/>
            <w:noWrap w:val="false"/>
          </w:tcPr>
          <w:p>
            <w:pPr>
              <w:pStyle w:val="85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Снижение водоцементного отношения до 0,2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pStyle w:val="85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Ускоренный набор прочности, не менее 30% в первые сутки и не менее 140% на третьи сутки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pStyle w:val="85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прочности, истираемости и морозостойкости бетона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солях по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F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pStyle w:val="85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однородности бетонной смеси при перемешивании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pStyle w:val="85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Возможность снижения расхода цемента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pStyle w:val="85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 увеличенной дозировке возможность получения самоуплотняющейся бетонной смеси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67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783" w:type="dxa"/>
            <w:vMerge w:val="continue"/>
            <w:textDirection w:val="lrTb"/>
            <w:noWrap w:val="false"/>
          </w:tcPr>
          <w:p>
            <w:pPr>
              <w:pStyle w:val="85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67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 xml:space="preserve">Область применения</w:t>
            </w: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78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rPr>
          <w:trHeight w:val="176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67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Универсальная добавка, применяемая при приготовлении жёсткой бетонной смеси для изготовления бетонных армированных и неармированных изделий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Идеальная для приготовления высокопрочных бетонов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78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rPr>
          <w:trHeight w:val="70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045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 xml:space="preserve">Техническое описание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>
          <w:trHeight w:val="70"/>
        </w:trPr>
        <w:tc>
          <w:tcPr>
            <w:tcBorders>
              <w:top w:val="single" w:color="auto" w:sz="4" w:space="0"/>
              <w:bottom w:val="single" w:color="auto" w:sz="4" w:space="0"/>
            </w:tcBorders>
            <w:tcW w:w="467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Внешний вид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578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Жидкость со светло-коричневым оттенком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>
          <w:trHeight w:val="70"/>
        </w:trPr>
        <w:tc>
          <w:tcPr>
            <w:tcBorders>
              <w:top w:val="single" w:color="auto" w:sz="4" w:space="0"/>
              <w:bottom w:val="single" w:color="auto" w:sz="4" w:space="0"/>
            </w:tcBorders>
            <w:tcW w:w="467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Плотность при 20°С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578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≥ 1,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г/см³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>
          <w:trHeight w:val="70"/>
        </w:trPr>
        <w:tc>
          <w:tcPr>
            <w:tcBorders>
              <w:top w:val="single" w:color="auto" w:sz="4" w:space="0"/>
              <w:bottom w:val="single" w:color="auto" w:sz="4" w:space="0"/>
            </w:tcBorders>
            <w:tcW w:w="467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Массовая доля сухого вещества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578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≥50%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>
          <w:trHeight w:val="70"/>
        </w:trPr>
        <w:tc>
          <w:tcPr>
            <w:tcBorders>
              <w:top w:val="single" w:color="auto" w:sz="4" w:space="0"/>
              <w:bottom w:val="single" w:color="auto" w:sz="4" w:space="0"/>
            </w:tcBorders>
            <w:tcW w:w="467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578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>
          <w:trHeight w:val="70"/>
        </w:trPr>
        <w:tc>
          <w:tcPr>
            <w:tcBorders>
              <w:top w:val="single" w:color="auto" w:sz="4" w:space="0"/>
            </w:tcBorders>
            <w:tcW w:w="467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хлоридов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578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≤ 0,1%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lightGray"/>
        </w:rPr>
        <w:t xml:space="preserve">Инструкция по применению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зависимости от требований к бетону, добавку ЛОБАСТ-Т17 следует вводить в количестве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0,3</w:t>
      </w:r>
      <w:r>
        <w:rPr>
          <w:rFonts w:ascii="Times New Roman" w:hAnsi="Times New Roman" w:cs="Times New Roman"/>
          <w:sz w:val="24"/>
          <w:szCs w:val="24"/>
        </w:rPr>
        <w:t xml:space="preserve">%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 w:cs="Times New Roman"/>
          <w:sz w:val="24"/>
          <w:szCs w:val="24"/>
        </w:rPr>
        <w:t xml:space="preserve">0,6% от массы цемента по жидкому продукту. Оптимальная дозировка добавки, рекомендуемая компанией «ЛОБАС» г. Нижни</w:t>
      </w:r>
      <w:r>
        <w:rPr>
          <w:rFonts w:ascii="Times New Roman" w:hAnsi="Times New Roman" w:cs="Times New Roman"/>
          <w:sz w:val="24"/>
          <w:szCs w:val="24"/>
        </w:rPr>
        <w:t xml:space="preserve">й Новгород , основанная на практическом применении на собственном производстве, составляет 0,4% от массы цемента по жидкому продукту. Выбор дозировки добавки осуществляется на основе требований к подвижности бетонной смеси, на основе лабораторных подборов.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lightGray"/>
        </w:rPr>
        <w:t xml:space="preserve">Дозирование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Добавка ЛОБАСТ-Т17 вводится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водой затворения</w:t>
      </w:r>
      <w:r>
        <w:rPr>
          <w:rFonts w:ascii="Times New Roman" w:hAnsi="Times New Roman" w:cs="Times New Roman"/>
          <w:sz w:val="24"/>
          <w:szCs w:val="24"/>
        </w:rPr>
        <w:t xml:space="preserve"> на весь замес</w:t>
      </w:r>
      <w:r>
        <w:rPr>
          <w:rFonts w:ascii="Times New Roman" w:hAnsi="Times New Roman" w:cs="Times New Roman"/>
          <w:sz w:val="24"/>
          <w:szCs w:val="24"/>
        </w:rPr>
        <w:t xml:space="preserve">. Для равномерного распределения </w:t>
      </w:r>
      <w:r>
        <w:rPr>
          <w:rFonts w:ascii="Times New Roman" w:hAnsi="Times New Roman" w:cs="Times New Roman"/>
          <w:sz w:val="24"/>
          <w:szCs w:val="24"/>
        </w:rPr>
        <w:t xml:space="preserve">добавки </w:t>
      </w:r>
      <w:r>
        <w:rPr>
          <w:rFonts w:ascii="Times New Roman" w:hAnsi="Times New Roman" w:cs="Times New Roman"/>
          <w:sz w:val="24"/>
          <w:szCs w:val="24"/>
        </w:rPr>
        <w:t xml:space="preserve">в бетонной смеси, компания «ЛОБАС» рекомендует готовить рабочий раствор добавки. </w:t>
      </w:r>
      <w:r>
        <w:rPr>
          <w:rFonts w:ascii="Times New Roman" w:hAnsi="Times New Roman" w:eastAsia="Times New Roman" w:cs="Times New Roman"/>
          <w:color w:val="151515"/>
          <w:sz w:val="24"/>
          <w:highlight w:val="none"/>
        </w:rPr>
        <w:t xml:space="preserve">Для приготовления рабочего раствора 1 кг. добавки разводятся в 50 л. воды, перемешивается миксером, получаем в 1 литре 20 гр. концентрата. Расход рабочего раствора составит от 7,5 л. (0,3%) до 15 л. (0,6%) на 50 кг. цемента в зависимости от влажности инерт</w:t>
      </w:r>
      <w:r>
        <w:rPr>
          <w:rFonts w:ascii="Times New Roman" w:hAnsi="Times New Roman" w:eastAsia="Times New Roman" w:cs="Times New Roman"/>
          <w:color w:val="151515"/>
          <w:sz w:val="24"/>
          <w:highlight w:val="none"/>
        </w:rPr>
        <w:t xml:space="preserve">ных материалов. На практике оптимально 10 л. раствора с «ЛОБАС Т-17» (200гр. концентрированного ЛОБАСТ Т-17 разведенного в 10 л. воды) на 50 кг. цемента и 150 кг. инертных материалов, при таком введении получается 0.4% от массы </w:t>
      </w:r>
      <w:r>
        <w:rPr>
          <w:rFonts w:ascii="Times New Roman" w:hAnsi="Times New Roman" w:eastAsia="Times New Roman" w:cs="Times New Roman"/>
          <w:color w:val="151515"/>
          <w:sz w:val="24"/>
          <w:highlight w:val="none"/>
        </w:rPr>
        <w:t xml:space="preserve">цемента.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lightGray"/>
        </w:rPr>
        <w:t xml:space="preserve">Совместимость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Универсальный поликарбоксилатный суперпластификатор «ЛОБАСТ-Т17» совместим со всеми добавками, кроме добавок на основе полинафталинсульфонатов.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lightGray"/>
        </w:rPr>
        <w:t xml:space="preserve">Доставка / Хранение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Добавка поставляется наливом в еврокубах и канистрах любого объёма по заявке покупателя. Хранить «ЛОБАСТ-Т17» следует в неповреждённой упаковке, в закрытых складских помещениях. Температура хранения не ниже 0°С. Перед употреблением добавку </w:t>
      </w:r>
      <w:r>
        <w:rPr>
          <w:rFonts w:ascii="Times New Roman" w:hAnsi="Times New Roman" w:cs="Times New Roman"/>
          <w:sz w:val="24"/>
          <w:szCs w:val="24"/>
        </w:rPr>
        <w:t xml:space="preserve">тщательно</w:t>
      </w:r>
      <w:r>
        <w:rPr>
          <w:rFonts w:ascii="Times New Roman" w:hAnsi="Times New Roman" w:cs="Times New Roman"/>
          <w:sz w:val="24"/>
          <w:szCs w:val="24"/>
        </w:rPr>
        <w:t xml:space="preserve"> перемешать. Гарантийный срок хранения – </w:t>
      </w:r>
      <w:r>
        <w:rPr>
          <w:rFonts w:ascii="Times New Roman" w:hAnsi="Times New Roman" w:cs="Times New Roman"/>
          <w:sz w:val="24"/>
          <w:szCs w:val="24"/>
        </w:rPr>
        <w:t xml:space="preserve">12</w:t>
      </w:r>
      <w:r>
        <w:rPr>
          <w:rFonts w:ascii="Times New Roman" w:hAnsi="Times New Roman" w:cs="Times New Roman"/>
          <w:sz w:val="24"/>
          <w:szCs w:val="24"/>
        </w:rPr>
        <w:t xml:space="preserve"> мес.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footnotePr/>
      <w:endnotePr/>
      <w:type w:val="nextPage"/>
      <w:pgSz w:w="11906" w:h="16838" w:orient="portrait"/>
      <w:pgMar w:top="567" w:right="720" w:bottom="567" w:left="72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6">
    <w:name w:val="Heading 1 Char"/>
    <w:basedOn w:val="683"/>
    <w:link w:val="674"/>
    <w:uiPriority w:val="9"/>
    <w:rPr>
      <w:rFonts w:ascii="Arial" w:hAnsi="Arial" w:eastAsia="Arial" w:cs="Arial"/>
      <w:sz w:val="40"/>
      <w:szCs w:val="40"/>
    </w:rPr>
  </w:style>
  <w:style w:type="character" w:styleId="657">
    <w:name w:val="Heading 2 Char"/>
    <w:basedOn w:val="683"/>
    <w:link w:val="675"/>
    <w:uiPriority w:val="9"/>
    <w:rPr>
      <w:rFonts w:ascii="Arial" w:hAnsi="Arial" w:eastAsia="Arial" w:cs="Arial"/>
      <w:sz w:val="34"/>
    </w:rPr>
  </w:style>
  <w:style w:type="character" w:styleId="658">
    <w:name w:val="Heading 3 Char"/>
    <w:basedOn w:val="683"/>
    <w:link w:val="676"/>
    <w:uiPriority w:val="9"/>
    <w:rPr>
      <w:rFonts w:ascii="Arial" w:hAnsi="Arial" w:eastAsia="Arial" w:cs="Arial"/>
      <w:sz w:val="30"/>
      <w:szCs w:val="30"/>
    </w:rPr>
  </w:style>
  <w:style w:type="character" w:styleId="659">
    <w:name w:val="Heading 4 Char"/>
    <w:basedOn w:val="683"/>
    <w:link w:val="677"/>
    <w:uiPriority w:val="9"/>
    <w:rPr>
      <w:rFonts w:ascii="Arial" w:hAnsi="Arial" w:eastAsia="Arial" w:cs="Arial"/>
      <w:b/>
      <w:bCs/>
      <w:sz w:val="26"/>
      <w:szCs w:val="26"/>
    </w:rPr>
  </w:style>
  <w:style w:type="character" w:styleId="660">
    <w:name w:val="Heading 5 Char"/>
    <w:basedOn w:val="683"/>
    <w:link w:val="678"/>
    <w:uiPriority w:val="9"/>
    <w:rPr>
      <w:rFonts w:ascii="Arial" w:hAnsi="Arial" w:eastAsia="Arial" w:cs="Arial"/>
      <w:b/>
      <w:bCs/>
      <w:sz w:val="24"/>
      <w:szCs w:val="24"/>
    </w:rPr>
  </w:style>
  <w:style w:type="character" w:styleId="661">
    <w:name w:val="Heading 6 Char"/>
    <w:basedOn w:val="683"/>
    <w:link w:val="679"/>
    <w:uiPriority w:val="9"/>
    <w:rPr>
      <w:rFonts w:ascii="Arial" w:hAnsi="Arial" w:eastAsia="Arial" w:cs="Arial"/>
      <w:b/>
      <w:bCs/>
      <w:sz w:val="22"/>
      <w:szCs w:val="22"/>
    </w:rPr>
  </w:style>
  <w:style w:type="character" w:styleId="662">
    <w:name w:val="Heading 7 Char"/>
    <w:basedOn w:val="683"/>
    <w:link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3">
    <w:name w:val="Heading 8 Char"/>
    <w:basedOn w:val="683"/>
    <w:link w:val="681"/>
    <w:uiPriority w:val="9"/>
    <w:rPr>
      <w:rFonts w:ascii="Arial" w:hAnsi="Arial" w:eastAsia="Arial" w:cs="Arial"/>
      <w:i/>
      <w:iCs/>
      <w:sz w:val="22"/>
      <w:szCs w:val="22"/>
    </w:rPr>
  </w:style>
  <w:style w:type="character" w:styleId="664">
    <w:name w:val="Heading 9 Char"/>
    <w:basedOn w:val="683"/>
    <w:link w:val="682"/>
    <w:uiPriority w:val="9"/>
    <w:rPr>
      <w:rFonts w:ascii="Arial" w:hAnsi="Arial" w:eastAsia="Arial" w:cs="Arial"/>
      <w:i/>
      <w:iCs/>
      <w:sz w:val="21"/>
      <w:szCs w:val="21"/>
    </w:rPr>
  </w:style>
  <w:style w:type="character" w:styleId="665">
    <w:name w:val="Title Char"/>
    <w:basedOn w:val="683"/>
    <w:link w:val="696"/>
    <w:uiPriority w:val="10"/>
    <w:rPr>
      <w:sz w:val="48"/>
      <w:szCs w:val="48"/>
    </w:rPr>
  </w:style>
  <w:style w:type="character" w:styleId="666">
    <w:name w:val="Subtitle Char"/>
    <w:basedOn w:val="683"/>
    <w:link w:val="698"/>
    <w:uiPriority w:val="11"/>
    <w:rPr>
      <w:sz w:val="24"/>
      <w:szCs w:val="24"/>
    </w:rPr>
  </w:style>
  <w:style w:type="character" w:styleId="667">
    <w:name w:val="Quote Char"/>
    <w:link w:val="700"/>
    <w:uiPriority w:val="29"/>
    <w:rPr>
      <w:i/>
    </w:rPr>
  </w:style>
  <w:style w:type="character" w:styleId="668">
    <w:name w:val="Intense Quote Char"/>
    <w:link w:val="702"/>
    <w:uiPriority w:val="30"/>
    <w:rPr>
      <w:i/>
    </w:rPr>
  </w:style>
  <w:style w:type="character" w:styleId="669">
    <w:name w:val="Header Char"/>
    <w:basedOn w:val="683"/>
    <w:link w:val="704"/>
    <w:uiPriority w:val="99"/>
  </w:style>
  <w:style w:type="character" w:styleId="670">
    <w:name w:val="Caption Char"/>
    <w:basedOn w:val="708"/>
    <w:link w:val="706"/>
    <w:uiPriority w:val="99"/>
  </w:style>
  <w:style w:type="character" w:styleId="671">
    <w:name w:val="Footnote Text Char"/>
    <w:link w:val="836"/>
    <w:uiPriority w:val="99"/>
    <w:rPr>
      <w:sz w:val="18"/>
    </w:rPr>
  </w:style>
  <w:style w:type="character" w:styleId="672">
    <w:name w:val="Endnote Text Char"/>
    <w:link w:val="839"/>
    <w:uiPriority w:val="99"/>
    <w:rPr>
      <w:sz w:val="20"/>
    </w:rPr>
  </w:style>
  <w:style w:type="paragraph" w:styleId="673" w:default="1">
    <w:name w:val="Normal"/>
    <w:qFormat/>
  </w:style>
  <w:style w:type="paragraph" w:styleId="674">
    <w:name w:val="Heading 1"/>
    <w:basedOn w:val="673"/>
    <w:next w:val="673"/>
    <w:link w:val="68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5">
    <w:name w:val="Heading 2"/>
    <w:basedOn w:val="673"/>
    <w:next w:val="673"/>
    <w:link w:val="68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6">
    <w:name w:val="Heading 3"/>
    <w:basedOn w:val="673"/>
    <w:next w:val="673"/>
    <w:link w:val="68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7">
    <w:name w:val="Heading 4"/>
    <w:basedOn w:val="673"/>
    <w:next w:val="673"/>
    <w:link w:val="68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8">
    <w:name w:val="Heading 5"/>
    <w:basedOn w:val="673"/>
    <w:next w:val="673"/>
    <w:link w:val="69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9">
    <w:name w:val="Heading 6"/>
    <w:basedOn w:val="673"/>
    <w:next w:val="673"/>
    <w:link w:val="69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80">
    <w:name w:val="Heading 7"/>
    <w:basedOn w:val="673"/>
    <w:next w:val="673"/>
    <w:link w:val="69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681">
    <w:name w:val="Heading 8"/>
    <w:basedOn w:val="673"/>
    <w:next w:val="673"/>
    <w:link w:val="69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682">
    <w:name w:val="Heading 9"/>
    <w:basedOn w:val="673"/>
    <w:next w:val="673"/>
    <w:link w:val="69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3" w:default="1">
    <w:name w:val="Default Paragraph Font"/>
    <w:uiPriority w:val="1"/>
    <w:semiHidden/>
    <w:unhideWhenUsed/>
  </w:style>
  <w:style w:type="table" w:styleId="68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5" w:default="1">
    <w:name w:val="No List"/>
    <w:uiPriority w:val="99"/>
    <w:semiHidden/>
    <w:unhideWhenUsed/>
  </w:style>
  <w:style w:type="character" w:styleId="686" w:customStyle="1">
    <w:name w:val="Заголовок 1 Знак"/>
    <w:basedOn w:val="683"/>
    <w:link w:val="674"/>
    <w:uiPriority w:val="9"/>
    <w:rPr>
      <w:rFonts w:ascii="Arial" w:hAnsi="Arial" w:eastAsia="Arial" w:cs="Arial"/>
      <w:sz w:val="40"/>
      <w:szCs w:val="40"/>
    </w:rPr>
  </w:style>
  <w:style w:type="character" w:styleId="687" w:customStyle="1">
    <w:name w:val="Заголовок 2 Знак"/>
    <w:basedOn w:val="683"/>
    <w:link w:val="675"/>
    <w:uiPriority w:val="9"/>
    <w:rPr>
      <w:rFonts w:ascii="Arial" w:hAnsi="Arial" w:eastAsia="Arial" w:cs="Arial"/>
      <w:sz w:val="34"/>
    </w:rPr>
  </w:style>
  <w:style w:type="character" w:styleId="688" w:customStyle="1">
    <w:name w:val="Заголовок 3 Знак"/>
    <w:basedOn w:val="683"/>
    <w:link w:val="676"/>
    <w:uiPriority w:val="9"/>
    <w:rPr>
      <w:rFonts w:ascii="Arial" w:hAnsi="Arial" w:eastAsia="Arial" w:cs="Arial"/>
      <w:sz w:val="30"/>
      <w:szCs w:val="30"/>
    </w:rPr>
  </w:style>
  <w:style w:type="character" w:styleId="689" w:customStyle="1">
    <w:name w:val="Заголовок 4 Знак"/>
    <w:basedOn w:val="683"/>
    <w:link w:val="677"/>
    <w:uiPriority w:val="9"/>
    <w:rPr>
      <w:rFonts w:ascii="Arial" w:hAnsi="Arial" w:eastAsia="Arial" w:cs="Arial"/>
      <w:b/>
      <w:bCs/>
      <w:sz w:val="26"/>
      <w:szCs w:val="26"/>
    </w:rPr>
  </w:style>
  <w:style w:type="character" w:styleId="690" w:customStyle="1">
    <w:name w:val="Заголовок 5 Знак"/>
    <w:basedOn w:val="683"/>
    <w:link w:val="678"/>
    <w:uiPriority w:val="9"/>
    <w:rPr>
      <w:rFonts w:ascii="Arial" w:hAnsi="Arial" w:eastAsia="Arial" w:cs="Arial"/>
      <w:b/>
      <w:bCs/>
      <w:sz w:val="24"/>
      <w:szCs w:val="24"/>
    </w:rPr>
  </w:style>
  <w:style w:type="character" w:styleId="691" w:customStyle="1">
    <w:name w:val="Заголовок 6 Знак"/>
    <w:basedOn w:val="683"/>
    <w:link w:val="679"/>
    <w:uiPriority w:val="9"/>
    <w:rPr>
      <w:rFonts w:ascii="Arial" w:hAnsi="Arial" w:eastAsia="Arial" w:cs="Arial"/>
      <w:b/>
      <w:bCs/>
      <w:sz w:val="22"/>
      <w:szCs w:val="22"/>
    </w:rPr>
  </w:style>
  <w:style w:type="character" w:styleId="692" w:customStyle="1">
    <w:name w:val="Заголовок 7 Знак"/>
    <w:basedOn w:val="683"/>
    <w:link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3" w:customStyle="1">
    <w:name w:val="Заголовок 8 Знак"/>
    <w:basedOn w:val="683"/>
    <w:link w:val="681"/>
    <w:uiPriority w:val="9"/>
    <w:rPr>
      <w:rFonts w:ascii="Arial" w:hAnsi="Arial" w:eastAsia="Arial" w:cs="Arial"/>
      <w:i/>
      <w:iCs/>
      <w:sz w:val="22"/>
      <w:szCs w:val="22"/>
    </w:rPr>
  </w:style>
  <w:style w:type="character" w:styleId="694" w:customStyle="1">
    <w:name w:val="Заголовок 9 Знак"/>
    <w:basedOn w:val="683"/>
    <w:link w:val="682"/>
    <w:uiPriority w:val="9"/>
    <w:rPr>
      <w:rFonts w:ascii="Arial" w:hAnsi="Arial" w:eastAsia="Arial" w:cs="Arial"/>
      <w:i/>
      <w:iCs/>
      <w:sz w:val="21"/>
      <w:szCs w:val="21"/>
    </w:rPr>
  </w:style>
  <w:style w:type="paragraph" w:styleId="695">
    <w:name w:val="No Spacing"/>
    <w:uiPriority w:val="1"/>
    <w:qFormat/>
    <w:pPr>
      <w:spacing w:after="0" w:line="240" w:lineRule="auto"/>
    </w:pPr>
  </w:style>
  <w:style w:type="paragraph" w:styleId="696">
    <w:name w:val="Title"/>
    <w:basedOn w:val="673"/>
    <w:next w:val="673"/>
    <w:link w:val="69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7" w:customStyle="1">
    <w:name w:val="Заголовок Знак"/>
    <w:basedOn w:val="683"/>
    <w:link w:val="696"/>
    <w:uiPriority w:val="10"/>
    <w:rPr>
      <w:sz w:val="48"/>
      <w:szCs w:val="48"/>
    </w:rPr>
  </w:style>
  <w:style w:type="paragraph" w:styleId="698">
    <w:name w:val="Subtitle"/>
    <w:basedOn w:val="673"/>
    <w:next w:val="673"/>
    <w:link w:val="699"/>
    <w:uiPriority w:val="11"/>
    <w:qFormat/>
    <w:pPr>
      <w:spacing w:before="200" w:after="200"/>
    </w:pPr>
    <w:rPr>
      <w:sz w:val="24"/>
      <w:szCs w:val="24"/>
    </w:rPr>
  </w:style>
  <w:style w:type="character" w:styleId="699" w:customStyle="1">
    <w:name w:val="Подзаголовок Знак"/>
    <w:basedOn w:val="683"/>
    <w:link w:val="698"/>
    <w:uiPriority w:val="11"/>
    <w:rPr>
      <w:sz w:val="24"/>
      <w:szCs w:val="24"/>
    </w:rPr>
  </w:style>
  <w:style w:type="paragraph" w:styleId="700">
    <w:name w:val="Quote"/>
    <w:basedOn w:val="673"/>
    <w:next w:val="673"/>
    <w:link w:val="701"/>
    <w:uiPriority w:val="29"/>
    <w:qFormat/>
    <w:pPr>
      <w:ind w:left="720" w:right="720"/>
    </w:pPr>
    <w:rPr>
      <w:i/>
    </w:rPr>
  </w:style>
  <w:style w:type="character" w:styleId="701" w:customStyle="1">
    <w:name w:val="Цитата 2 Знак"/>
    <w:link w:val="700"/>
    <w:uiPriority w:val="29"/>
    <w:rPr>
      <w:i/>
    </w:rPr>
  </w:style>
  <w:style w:type="paragraph" w:styleId="702">
    <w:name w:val="Intense Quote"/>
    <w:basedOn w:val="673"/>
    <w:next w:val="673"/>
    <w:link w:val="70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3" w:customStyle="1">
    <w:name w:val="Выделенная цитата Знак"/>
    <w:link w:val="702"/>
    <w:uiPriority w:val="30"/>
    <w:rPr>
      <w:i/>
    </w:rPr>
  </w:style>
  <w:style w:type="paragraph" w:styleId="704">
    <w:name w:val="Header"/>
    <w:basedOn w:val="673"/>
    <w:link w:val="70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5" w:customStyle="1">
    <w:name w:val="Верхний колонтитул Знак"/>
    <w:basedOn w:val="683"/>
    <w:link w:val="704"/>
    <w:uiPriority w:val="99"/>
  </w:style>
  <w:style w:type="paragraph" w:styleId="706">
    <w:name w:val="Footer"/>
    <w:basedOn w:val="673"/>
    <w:link w:val="70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7" w:customStyle="1">
    <w:name w:val="Footer Char"/>
    <w:basedOn w:val="683"/>
    <w:uiPriority w:val="99"/>
  </w:style>
  <w:style w:type="paragraph" w:styleId="708">
    <w:name w:val="Caption"/>
    <w:basedOn w:val="673"/>
    <w:next w:val="673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09" w:customStyle="1">
    <w:name w:val="Нижний колонтитул Знак"/>
    <w:link w:val="706"/>
    <w:uiPriority w:val="99"/>
  </w:style>
  <w:style w:type="table" w:styleId="710" w:customStyle="1">
    <w:name w:val="Table Grid Light"/>
    <w:basedOn w:val="68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1">
    <w:name w:val="Plain Table 1"/>
    <w:basedOn w:val="68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>
    <w:name w:val="Plain Table 2"/>
    <w:basedOn w:val="68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>
    <w:name w:val="Plain Table 3"/>
    <w:basedOn w:val="6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4">
    <w:name w:val="Plain Table 4"/>
    <w:basedOn w:val="6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Plain Table 5"/>
    <w:basedOn w:val="6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6">
    <w:name w:val="Grid Table 1 Light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1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5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6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1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5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6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1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5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6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4"/>
    <w:basedOn w:val="68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8" w:customStyle="1">
    <w:name w:val="Grid Table 4 - Accent 1"/>
    <w:basedOn w:val="684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39" w:customStyle="1">
    <w:name w:val="Grid Table 4 - Accent 2"/>
    <w:basedOn w:val="68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40" w:customStyle="1">
    <w:name w:val="Grid Table 4 - Accent 3"/>
    <w:basedOn w:val="68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41" w:customStyle="1">
    <w:name w:val="Grid Table 4 - Accent 4"/>
    <w:basedOn w:val="68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42" w:customStyle="1">
    <w:name w:val="Grid Table 4 - Accent 5"/>
    <w:basedOn w:val="68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43" w:customStyle="1">
    <w:name w:val="Grid Table 4 - Accent 6"/>
    <w:basedOn w:val="684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44">
    <w:name w:val="Grid Table 5 Dark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- Accent 1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 - Accent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- Accent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 - Accent 5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6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51">
    <w:name w:val="Grid Table 6 Colorful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2" w:customStyle="1">
    <w:name w:val="Grid Table 6 Colorful - Accent 1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53" w:customStyle="1">
    <w:name w:val="Grid Table 6 Colorful - Accent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54" w:customStyle="1">
    <w:name w:val="Grid Table 6 Colorful - Accent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55" w:customStyle="1">
    <w:name w:val="Grid Table 6 Colorful - Accent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56" w:customStyle="1">
    <w:name w:val="Grid Table 6 Colorful - Accent 5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57" w:customStyle="1">
    <w:name w:val="Grid Table 6 Colorful - Accent 6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58">
    <w:name w:val="Grid Table 7 Colorful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7 Colorful - Accent 1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7 Colorful - Accent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7 Colorful - Accent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7 Colorful - Accent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7 Colorful - Accent 5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7 Colorful - Accent 6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"/>
    <w:basedOn w:val="6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1"/>
    <w:basedOn w:val="6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2"/>
    <w:basedOn w:val="6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3"/>
    <w:basedOn w:val="6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4"/>
    <w:basedOn w:val="6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5"/>
    <w:basedOn w:val="6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6"/>
    <w:basedOn w:val="6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1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5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6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79">
    <w:name w:val="List Table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1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5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6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1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5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6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5 Dark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1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5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6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>
    <w:name w:val="List Table 6 Colorful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1" w:customStyle="1">
    <w:name w:val="List Table 6 Colorful - Accent 1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02" w:customStyle="1">
    <w:name w:val="List Table 6 Colorful - Accent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03" w:customStyle="1">
    <w:name w:val="List Table 6 Colorful - Accent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04" w:customStyle="1">
    <w:name w:val="List Table 6 Colorful - Accent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05" w:customStyle="1">
    <w:name w:val="List Table 6 Colorful - Accent 5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06" w:customStyle="1">
    <w:name w:val="List Table 6 Colorful - Accent 6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07">
    <w:name w:val="List Table 7 Colorful"/>
    <w:basedOn w:val="68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7 Colorful - Accent 1"/>
    <w:basedOn w:val="68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7 Colorful - Accent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7 Colorful - Accent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7 Colorful - Accent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7 Colorful - Accent 5"/>
    <w:basedOn w:val="68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7 Colorful - Accent 6"/>
    <w:basedOn w:val="68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ned - Accent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5" w:customStyle="1">
    <w:name w:val="Lined - Accent 1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16" w:customStyle="1">
    <w:name w:val="Lined - Accent 2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17" w:customStyle="1">
    <w:name w:val="Lined - Accent 3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18" w:customStyle="1">
    <w:name w:val="Lined - Accent 4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19" w:customStyle="1">
    <w:name w:val="Lined - Accent 5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20" w:customStyle="1">
    <w:name w:val="Lined - Accent 6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21" w:customStyle="1">
    <w:name w:val="Bordered &amp; Lined - Accent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2" w:customStyle="1">
    <w:name w:val="Bordered &amp; Lined - Accent 1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23" w:customStyle="1">
    <w:name w:val="Bordered &amp; Lined - Accent 2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24" w:customStyle="1">
    <w:name w:val="Bordered &amp; Lined - Accent 3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25" w:customStyle="1">
    <w:name w:val="Bordered &amp; Lined - Accent 4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26" w:customStyle="1">
    <w:name w:val="Bordered &amp; Lined - Accent 5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27" w:customStyle="1">
    <w:name w:val="Bordered &amp; Lined - Accent 6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28" w:customStyle="1">
    <w:name w:val="Bordered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9" w:customStyle="1">
    <w:name w:val="Bordered - Accent 1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30" w:customStyle="1">
    <w:name w:val="Bordered - Accent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31" w:customStyle="1">
    <w:name w:val="Bordered - Accent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32" w:customStyle="1">
    <w:name w:val="Bordered - Accent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33" w:customStyle="1">
    <w:name w:val="Bordered - Accent 5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34" w:customStyle="1">
    <w:name w:val="Bordered - Accent 6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35">
    <w:name w:val="Hyperlink"/>
    <w:uiPriority w:val="99"/>
    <w:unhideWhenUsed/>
    <w:rPr>
      <w:color w:val="0563c1" w:themeColor="hyperlink"/>
      <w:u w:val="single"/>
    </w:rPr>
  </w:style>
  <w:style w:type="paragraph" w:styleId="836">
    <w:name w:val="footnote text"/>
    <w:basedOn w:val="673"/>
    <w:link w:val="837"/>
    <w:uiPriority w:val="99"/>
    <w:semiHidden/>
    <w:unhideWhenUsed/>
    <w:pPr>
      <w:spacing w:after="40" w:line="240" w:lineRule="auto"/>
    </w:pPr>
    <w:rPr>
      <w:sz w:val="18"/>
    </w:rPr>
  </w:style>
  <w:style w:type="character" w:styleId="837" w:customStyle="1">
    <w:name w:val="Текст сноски Знак"/>
    <w:link w:val="836"/>
    <w:uiPriority w:val="99"/>
    <w:rPr>
      <w:sz w:val="18"/>
    </w:rPr>
  </w:style>
  <w:style w:type="character" w:styleId="838">
    <w:name w:val="footnote reference"/>
    <w:basedOn w:val="683"/>
    <w:uiPriority w:val="99"/>
    <w:unhideWhenUsed/>
    <w:rPr>
      <w:vertAlign w:val="superscript"/>
    </w:rPr>
  </w:style>
  <w:style w:type="paragraph" w:styleId="839">
    <w:name w:val="endnote text"/>
    <w:basedOn w:val="673"/>
    <w:link w:val="840"/>
    <w:uiPriority w:val="99"/>
    <w:semiHidden/>
    <w:unhideWhenUsed/>
    <w:pPr>
      <w:spacing w:after="0" w:line="240" w:lineRule="auto"/>
    </w:pPr>
    <w:rPr>
      <w:sz w:val="20"/>
    </w:rPr>
  </w:style>
  <w:style w:type="character" w:styleId="840" w:customStyle="1">
    <w:name w:val="Текст концевой сноски Знак"/>
    <w:link w:val="839"/>
    <w:uiPriority w:val="99"/>
    <w:rPr>
      <w:sz w:val="20"/>
    </w:rPr>
  </w:style>
  <w:style w:type="character" w:styleId="841">
    <w:name w:val="endnote reference"/>
    <w:basedOn w:val="683"/>
    <w:uiPriority w:val="99"/>
    <w:semiHidden/>
    <w:unhideWhenUsed/>
    <w:rPr>
      <w:vertAlign w:val="superscript"/>
    </w:rPr>
  </w:style>
  <w:style w:type="paragraph" w:styleId="842">
    <w:name w:val="toc 1"/>
    <w:basedOn w:val="673"/>
    <w:next w:val="673"/>
    <w:uiPriority w:val="39"/>
    <w:unhideWhenUsed/>
    <w:pPr>
      <w:spacing w:after="57"/>
    </w:pPr>
  </w:style>
  <w:style w:type="paragraph" w:styleId="843">
    <w:name w:val="toc 2"/>
    <w:basedOn w:val="673"/>
    <w:next w:val="673"/>
    <w:uiPriority w:val="39"/>
    <w:unhideWhenUsed/>
    <w:pPr>
      <w:ind w:left="283"/>
      <w:spacing w:after="57"/>
    </w:pPr>
  </w:style>
  <w:style w:type="paragraph" w:styleId="844">
    <w:name w:val="toc 3"/>
    <w:basedOn w:val="673"/>
    <w:next w:val="673"/>
    <w:uiPriority w:val="39"/>
    <w:unhideWhenUsed/>
    <w:pPr>
      <w:ind w:left="567"/>
      <w:spacing w:after="57"/>
    </w:pPr>
  </w:style>
  <w:style w:type="paragraph" w:styleId="845">
    <w:name w:val="toc 4"/>
    <w:basedOn w:val="673"/>
    <w:next w:val="673"/>
    <w:uiPriority w:val="39"/>
    <w:unhideWhenUsed/>
    <w:pPr>
      <w:ind w:left="850"/>
      <w:spacing w:after="57"/>
    </w:pPr>
  </w:style>
  <w:style w:type="paragraph" w:styleId="846">
    <w:name w:val="toc 5"/>
    <w:basedOn w:val="673"/>
    <w:next w:val="673"/>
    <w:uiPriority w:val="39"/>
    <w:unhideWhenUsed/>
    <w:pPr>
      <w:ind w:left="1134"/>
      <w:spacing w:after="57"/>
    </w:pPr>
  </w:style>
  <w:style w:type="paragraph" w:styleId="847">
    <w:name w:val="toc 6"/>
    <w:basedOn w:val="673"/>
    <w:next w:val="673"/>
    <w:uiPriority w:val="39"/>
    <w:unhideWhenUsed/>
    <w:pPr>
      <w:ind w:left="1417"/>
      <w:spacing w:after="57"/>
    </w:pPr>
  </w:style>
  <w:style w:type="paragraph" w:styleId="848">
    <w:name w:val="toc 7"/>
    <w:basedOn w:val="673"/>
    <w:next w:val="673"/>
    <w:uiPriority w:val="39"/>
    <w:unhideWhenUsed/>
    <w:pPr>
      <w:ind w:left="1701"/>
      <w:spacing w:after="57"/>
    </w:pPr>
  </w:style>
  <w:style w:type="paragraph" w:styleId="849">
    <w:name w:val="toc 8"/>
    <w:basedOn w:val="673"/>
    <w:next w:val="673"/>
    <w:uiPriority w:val="39"/>
    <w:unhideWhenUsed/>
    <w:pPr>
      <w:ind w:left="1984"/>
      <w:spacing w:after="57"/>
    </w:pPr>
  </w:style>
  <w:style w:type="paragraph" w:styleId="850">
    <w:name w:val="toc 9"/>
    <w:basedOn w:val="673"/>
    <w:next w:val="673"/>
    <w:uiPriority w:val="39"/>
    <w:unhideWhenUsed/>
    <w:pPr>
      <w:ind w:left="2268"/>
      <w:spacing w:after="57"/>
    </w:pPr>
  </w:style>
  <w:style w:type="paragraph" w:styleId="851">
    <w:name w:val="TOC Heading"/>
    <w:uiPriority w:val="39"/>
    <w:unhideWhenUsed/>
  </w:style>
  <w:style w:type="paragraph" w:styleId="852">
    <w:name w:val="table of figures"/>
    <w:basedOn w:val="673"/>
    <w:next w:val="673"/>
    <w:uiPriority w:val="99"/>
    <w:unhideWhenUsed/>
    <w:pPr>
      <w:spacing w:after="0"/>
    </w:pPr>
  </w:style>
  <w:style w:type="table" w:styleId="853">
    <w:name w:val="Table Grid"/>
    <w:basedOn w:val="684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4">
    <w:name w:val="List Paragraph"/>
    <w:basedOn w:val="673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R7-Office/7.4.0.112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g.razmyachik</dc:creator>
  <cp:keywords/>
  <dc:description/>
  <cp:lastModifiedBy>Золотухина Мария Владимировна</cp:lastModifiedBy>
  <cp:revision>7</cp:revision>
  <dcterms:created xsi:type="dcterms:W3CDTF">2023-05-18T16:35:00Z</dcterms:created>
  <dcterms:modified xsi:type="dcterms:W3CDTF">2024-06-10T04:51:29Z</dcterms:modified>
</cp:coreProperties>
</file>